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FB" w:rsidRDefault="001948FB" w:rsidP="001948FB">
      <w:pPr>
        <w:pStyle w:val="Default"/>
        <w:rPr>
          <w:rFonts w:hAnsi="仿宋"/>
          <w:b/>
          <w:sz w:val="32"/>
          <w:szCs w:val="32"/>
        </w:rPr>
      </w:pPr>
      <w:r>
        <w:rPr>
          <w:rFonts w:hAnsi="仿宋" w:hint="eastAsia"/>
          <w:b/>
          <w:sz w:val="32"/>
          <w:szCs w:val="32"/>
        </w:rPr>
        <w:t>附件一：</w:t>
      </w:r>
    </w:p>
    <w:p w:rsidR="001948FB" w:rsidRDefault="001948FB" w:rsidP="001948FB">
      <w:pPr>
        <w:pStyle w:val="Default"/>
        <w:jc w:val="center"/>
        <w:rPr>
          <w:rFonts w:hAnsi="仿宋"/>
          <w:b/>
          <w:sz w:val="32"/>
          <w:szCs w:val="32"/>
        </w:rPr>
      </w:pPr>
      <w:r>
        <w:rPr>
          <w:rFonts w:hAnsi="仿宋" w:hint="eastAsia"/>
          <w:b/>
          <w:sz w:val="32"/>
          <w:szCs w:val="32"/>
        </w:rPr>
        <w:t>《强制性产品认证实施细则 灭火设备产品 消防给水设备产品（一）》相关修订内容</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（一）附件</w:t>
      </w:r>
      <w:r>
        <w:rPr>
          <w:rFonts w:ascii="仿宋" w:eastAsia="仿宋" w:hAnsi="仿宋"/>
          <w:sz w:val="32"/>
          <w:szCs w:val="32"/>
        </w:rPr>
        <w:t>1</w:t>
      </w:r>
      <w:r>
        <w:rPr>
          <w:rFonts w:ascii="仿宋" w:eastAsia="仿宋" w:hAnsi="仿宋" w:hint="eastAsia"/>
          <w:sz w:val="32"/>
          <w:szCs w:val="32"/>
        </w:rPr>
        <w:t xml:space="preserve"> 强制性认证产品及单元划分原则</w:t>
      </w:r>
    </w:p>
    <w:tbl>
      <w:tblPr>
        <w:tblStyle w:val="a5"/>
        <w:tblW w:w="9464" w:type="dxa"/>
        <w:tblLayout w:type="fixed"/>
        <w:tblLook w:val="04A0"/>
      </w:tblPr>
      <w:tblGrid>
        <w:gridCol w:w="562"/>
        <w:gridCol w:w="1673"/>
        <w:gridCol w:w="1559"/>
        <w:gridCol w:w="3685"/>
        <w:gridCol w:w="1985"/>
      </w:tblGrid>
      <w:tr w:rsidR="001948FB" w:rsidTr="00943674">
        <w:tc>
          <w:tcPr>
            <w:tcW w:w="562" w:type="dxa"/>
            <w:vAlign w:val="center"/>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序号</w:t>
            </w:r>
          </w:p>
        </w:tc>
        <w:tc>
          <w:tcPr>
            <w:tcW w:w="1673" w:type="dxa"/>
            <w:vAlign w:val="center"/>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产品</w:t>
            </w:r>
            <w:r>
              <w:rPr>
                <w:rFonts w:ascii="仿宋" w:eastAsia="仿宋" w:hAnsi="仿宋"/>
                <w:sz w:val="32"/>
                <w:szCs w:val="32"/>
              </w:rPr>
              <w:t>类别</w:t>
            </w:r>
          </w:p>
        </w:tc>
        <w:tc>
          <w:tcPr>
            <w:tcW w:w="1559" w:type="dxa"/>
            <w:vAlign w:val="center"/>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典型产品</w:t>
            </w:r>
          </w:p>
          <w:p w:rsidR="001948FB" w:rsidRDefault="001948FB" w:rsidP="00943674">
            <w:pPr>
              <w:spacing w:line="400" w:lineRule="exact"/>
              <w:jc w:val="center"/>
              <w:rPr>
                <w:rFonts w:ascii="仿宋" w:eastAsia="仿宋" w:hAnsi="仿宋"/>
                <w:sz w:val="32"/>
                <w:szCs w:val="32"/>
              </w:rPr>
            </w:pPr>
            <w:r>
              <w:rPr>
                <w:rFonts w:ascii="仿宋" w:eastAsia="仿宋" w:hAnsi="仿宋"/>
                <w:sz w:val="32"/>
                <w:szCs w:val="32"/>
              </w:rPr>
              <w:t>名称</w:t>
            </w:r>
          </w:p>
        </w:tc>
        <w:tc>
          <w:tcPr>
            <w:tcW w:w="3685" w:type="dxa"/>
            <w:vAlign w:val="center"/>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单元</w:t>
            </w:r>
            <w:r>
              <w:rPr>
                <w:rFonts w:ascii="仿宋" w:eastAsia="仿宋" w:hAnsi="仿宋"/>
                <w:sz w:val="32"/>
                <w:szCs w:val="32"/>
              </w:rPr>
              <w:t>划分原则</w:t>
            </w:r>
          </w:p>
        </w:tc>
        <w:tc>
          <w:tcPr>
            <w:tcW w:w="1985" w:type="dxa"/>
            <w:vAlign w:val="center"/>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认证</w:t>
            </w:r>
            <w:r>
              <w:rPr>
                <w:rFonts w:ascii="仿宋" w:eastAsia="仿宋" w:hAnsi="仿宋"/>
                <w:sz w:val="32"/>
                <w:szCs w:val="32"/>
              </w:rPr>
              <w:t>依据</w:t>
            </w:r>
          </w:p>
          <w:p w:rsidR="001948FB" w:rsidRDefault="001948FB" w:rsidP="00943674">
            <w:pPr>
              <w:spacing w:line="400" w:lineRule="exact"/>
              <w:jc w:val="center"/>
              <w:rPr>
                <w:rFonts w:ascii="仿宋" w:eastAsia="仿宋" w:hAnsi="仿宋"/>
                <w:sz w:val="32"/>
                <w:szCs w:val="32"/>
              </w:rPr>
            </w:pPr>
            <w:r>
              <w:rPr>
                <w:rFonts w:ascii="仿宋" w:eastAsia="仿宋" w:hAnsi="仿宋"/>
                <w:sz w:val="32"/>
                <w:szCs w:val="32"/>
              </w:rPr>
              <w:t>标准</w:t>
            </w:r>
          </w:p>
        </w:tc>
      </w:tr>
      <w:tr w:rsidR="001948FB" w:rsidTr="00943674">
        <w:tc>
          <w:tcPr>
            <w:tcW w:w="562" w:type="dxa"/>
            <w:vAlign w:val="center"/>
          </w:tcPr>
          <w:p w:rsidR="001948FB" w:rsidRDefault="001948FB" w:rsidP="00943674">
            <w:pPr>
              <w:spacing w:line="360" w:lineRule="auto"/>
              <w:jc w:val="center"/>
              <w:rPr>
                <w:rFonts w:ascii="仿宋" w:eastAsia="仿宋" w:hAnsi="仿宋"/>
                <w:sz w:val="32"/>
                <w:szCs w:val="32"/>
              </w:rPr>
            </w:pPr>
            <w:r>
              <w:rPr>
                <w:rFonts w:ascii="仿宋" w:eastAsia="仿宋" w:hAnsi="仿宋" w:hint="eastAsia"/>
                <w:sz w:val="32"/>
                <w:szCs w:val="32"/>
              </w:rPr>
              <w:t>10</w:t>
            </w:r>
          </w:p>
        </w:tc>
        <w:tc>
          <w:tcPr>
            <w:tcW w:w="1673" w:type="dxa"/>
            <w:vAlign w:val="center"/>
          </w:tcPr>
          <w:p w:rsidR="001948FB" w:rsidRDefault="001948FB" w:rsidP="00943674">
            <w:pPr>
              <w:spacing w:line="360" w:lineRule="auto"/>
              <w:jc w:val="center"/>
              <w:rPr>
                <w:rFonts w:ascii="仿宋" w:eastAsia="仿宋" w:hAnsi="仿宋"/>
                <w:sz w:val="32"/>
                <w:szCs w:val="32"/>
              </w:rPr>
            </w:pPr>
            <w:r>
              <w:rPr>
                <w:rFonts w:ascii="仿宋" w:eastAsia="仿宋" w:hAnsi="仿宋" w:hint="eastAsia"/>
                <w:sz w:val="32"/>
                <w:szCs w:val="32"/>
              </w:rPr>
              <w:t>室内消火栓</w:t>
            </w:r>
          </w:p>
        </w:tc>
        <w:tc>
          <w:tcPr>
            <w:tcW w:w="1559" w:type="dxa"/>
            <w:vAlign w:val="center"/>
          </w:tcPr>
          <w:p w:rsidR="001948FB" w:rsidRDefault="001948FB" w:rsidP="00943674">
            <w:pPr>
              <w:spacing w:line="360" w:lineRule="auto"/>
              <w:jc w:val="center"/>
              <w:rPr>
                <w:rFonts w:ascii="仿宋" w:eastAsia="仿宋" w:hAnsi="仿宋"/>
                <w:sz w:val="32"/>
                <w:szCs w:val="32"/>
              </w:rPr>
            </w:pPr>
            <w:r>
              <w:rPr>
                <w:rFonts w:ascii="仿宋" w:eastAsia="仿宋" w:hAnsi="仿宋" w:hint="eastAsia"/>
                <w:sz w:val="32"/>
                <w:szCs w:val="32"/>
              </w:rPr>
              <w:t>室内消火栓</w:t>
            </w:r>
          </w:p>
        </w:tc>
        <w:tc>
          <w:tcPr>
            <w:tcW w:w="3685" w:type="dxa"/>
            <w:vAlign w:val="center"/>
          </w:tcPr>
          <w:p w:rsidR="001948FB" w:rsidRDefault="001948FB" w:rsidP="00943674">
            <w:pPr>
              <w:autoSpaceDE w:val="0"/>
              <w:autoSpaceDN w:val="0"/>
              <w:spacing w:line="360" w:lineRule="exact"/>
              <w:rPr>
                <w:rFonts w:ascii="仿宋" w:eastAsia="仿宋" w:hAnsi="仿宋"/>
                <w:sz w:val="32"/>
                <w:szCs w:val="32"/>
              </w:rPr>
            </w:pPr>
            <w:r>
              <w:rPr>
                <w:rFonts w:ascii="仿宋" w:eastAsia="仿宋" w:hAnsi="仿宋" w:hint="eastAsia"/>
                <w:sz w:val="32"/>
                <w:szCs w:val="32"/>
              </w:rPr>
              <w:t>1） 栓阀数量不同不能作为一个认证单元。</w:t>
            </w:r>
          </w:p>
          <w:p w:rsidR="001948FB" w:rsidRDefault="001948FB" w:rsidP="00943674">
            <w:pPr>
              <w:autoSpaceDE w:val="0"/>
              <w:autoSpaceDN w:val="0"/>
              <w:spacing w:line="360" w:lineRule="exact"/>
              <w:rPr>
                <w:rFonts w:ascii="仿宋" w:eastAsia="仿宋" w:hAnsi="仿宋"/>
                <w:sz w:val="32"/>
                <w:szCs w:val="32"/>
              </w:rPr>
            </w:pPr>
            <w:r>
              <w:rPr>
                <w:rFonts w:ascii="仿宋" w:eastAsia="仿宋" w:hAnsi="仿宋" w:hint="eastAsia"/>
                <w:sz w:val="32"/>
                <w:szCs w:val="32"/>
              </w:rPr>
              <w:t>2） 结构型式不同不能作为一个认证单元。</w:t>
            </w:r>
          </w:p>
          <w:p w:rsidR="001948FB" w:rsidRDefault="001948FB" w:rsidP="00943674">
            <w:pPr>
              <w:spacing w:line="360" w:lineRule="exact"/>
              <w:rPr>
                <w:rFonts w:ascii="仿宋" w:eastAsia="仿宋" w:hAnsi="仿宋"/>
                <w:sz w:val="32"/>
                <w:szCs w:val="32"/>
              </w:rPr>
            </w:pPr>
            <w:r>
              <w:rPr>
                <w:rFonts w:ascii="仿宋" w:eastAsia="仿宋" w:hAnsi="仿宋" w:hint="eastAsia"/>
                <w:sz w:val="32"/>
                <w:szCs w:val="32"/>
              </w:rPr>
              <w:t>3）材质不同不能作为一个认证单元。</w:t>
            </w:r>
          </w:p>
        </w:tc>
        <w:tc>
          <w:tcPr>
            <w:tcW w:w="1985" w:type="dxa"/>
            <w:vAlign w:val="center"/>
          </w:tcPr>
          <w:p w:rsidR="001948FB" w:rsidRDefault="001948FB" w:rsidP="00943674">
            <w:pPr>
              <w:spacing w:line="360" w:lineRule="auto"/>
              <w:jc w:val="center"/>
              <w:rPr>
                <w:rFonts w:ascii="仿宋" w:eastAsia="仿宋" w:hAnsi="仿宋"/>
                <w:sz w:val="32"/>
                <w:szCs w:val="32"/>
              </w:rPr>
            </w:pPr>
            <w:hyperlink r:id="rId7" w:history="1">
              <w:r>
                <w:rPr>
                  <w:rFonts w:ascii="仿宋" w:eastAsia="仿宋" w:hAnsi="仿宋"/>
                  <w:sz w:val="32"/>
                  <w:szCs w:val="32"/>
                </w:rPr>
                <w:t xml:space="preserve">GB </w:t>
              </w:r>
              <w:r>
                <w:rPr>
                  <w:rFonts w:ascii="仿宋" w:eastAsia="仿宋" w:hAnsi="仿宋" w:hint="eastAsia"/>
                  <w:sz w:val="32"/>
                  <w:szCs w:val="32"/>
                </w:rPr>
                <w:t>3445</w:t>
              </w:r>
              <w:r>
                <w:rPr>
                  <w:rFonts w:ascii="仿宋" w:eastAsia="仿宋" w:hAnsi="仿宋"/>
                  <w:sz w:val="32"/>
                  <w:szCs w:val="32"/>
                </w:rPr>
                <w:t>-2018</w:t>
              </w:r>
            </w:hyperlink>
          </w:p>
        </w:tc>
      </w:tr>
    </w:tbl>
    <w:p w:rsidR="001948FB" w:rsidRDefault="001948FB" w:rsidP="001948FB">
      <w:pPr>
        <w:autoSpaceDE w:val="0"/>
        <w:autoSpaceDN w:val="0"/>
        <w:spacing w:line="360" w:lineRule="auto"/>
        <w:rPr>
          <w:rFonts w:ascii="仿宋" w:eastAsia="仿宋" w:hAnsi="仿宋"/>
          <w:sz w:val="32"/>
          <w:szCs w:val="32"/>
        </w:rPr>
      </w:pPr>
      <w:r>
        <w:rPr>
          <w:rFonts w:ascii="仿宋" w:eastAsia="仿宋" w:hAnsi="仿宋" w:hint="eastAsia"/>
          <w:sz w:val="32"/>
          <w:szCs w:val="32"/>
        </w:rPr>
        <w:t>说明：</w:t>
      </w:r>
    </w:p>
    <w:p w:rsidR="001948FB" w:rsidRDefault="001948FB" w:rsidP="001948FB">
      <w:pPr>
        <w:autoSpaceDE w:val="0"/>
        <w:autoSpaceDN w:val="0"/>
        <w:spacing w:line="360" w:lineRule="auto"/>
        <w:rPr>
          <w:rFonts w:ascii="仿宋" w:eastAsia="仿宋" w:hAnsi="仿宋"/>
          <w:sz w:val="32"/>
          <w:szCs w:val="32"/>
        </w:rPr>
      </w:pPr>
      <w:r>
        <w:rPr>
          <w:rFonts w:ascii="仿宋" w:eastAsia="仿宋" w:hAnsi="仿宋" w:hint="eastAsia"/>
          <w:sz w:val="32"/>
          <w:szCs w:val="32"/>
        </w:rPr>
        <w:t>1）单栓阀的室内消火栓和双栓阀的室内消火栓，应分别申请认证。</w:t>
      </w:r>
    </w:p>
    <w:p w:rsidR="001948FB" w:rsidRPr="006F5315" w:rsidRDefault="001948FB" w:rsidP="001948FB">
      <w:pPr>
        <w:autoSpaceDE w:val="0"/>
        <w:autoSpaceDN w:val="0"/>
        <w:spacing w:line="360" w:lineRule="auto"/>
        <w:rPr>
          <w:rFonts w:ascii="仿宋" w:eastAsia="仿宋" w:hAnsi="仿宋"/>
          <w:sz w:val="32"/>
          <w:szCs w:val="32"/>
        </w:rPr>
      </w:pPr>
      <w:r>
        <w:rPr>
          <w:rFonts w:ascii="仿宋" w:eastAsia="仿宋" w:hAnsi="仿宋" w:hint="eastAsia"/>
          <w:sz w:val="32"/>
          <w:szCs w:val="32"/>
        </w:rPr>
        <w:t>2）直角出口型的室内消火栓、45°出口型的室内消火栓、旋转型的</w:t>
      </w:r>
      <w:r w:rsidRPr="006F5315">
        <w:rPr>
          <w:rFonts w:ascii="仿宋" w:eastAsia="仿宋" w:hAnsi="仿宋" w:hint="eastAsia"/>
          <w:sz w:val="32"/>
          <w:szCs w:val="32"/>
        </w:rPr>
        <w:t>室内消火栓、减压型的室内消火栓、旋转减压型的室内消火栓、减压稳压型的室内消火栓、旋转减压稳压型的室内消火栓、异径三通型的室内消火栓产品，应分别申请认证。</w:t>
      </w:r>
    </w:p>
    <w:p w:rsidR="001948FB" w:rsidRDefault="001948FB" w:rsidP="001948FB">
      <w:pPr>
        <w:spacing w:line="360" w:lineRule="auto"/>
        <w:rPr>
          <w:rFonts w:ascii="仿宋" w:eastAsia="仿宋" w:hAnsi="仿宋"/>
          <w:sz w:val="32"/>
          <w:szCs w:val="32"/>
        </w:rPr>
      </w:pPr>
      <w:r w:rsidRPr="006F5315">
        <w:rPr>
          <w:rFonts w:ascii="仿宋" w:eastAsia="仿宋" w:hAnsi="仿宋" w:hint="eastAsia"/>
          <w:sz w:val="32"/>
          <w:szCs w:val="32"/>
        </w:rPr>
        <w:t>3）材质不同的室内消火栓产品，应分</w:t>
      </w:r>
      <w:r>
        <w:rPr>
          <w:rFonts w:ascii="仿宋" w:eastAsia="仿宋" w:hAnsi="仿宋" w:hint="eastAsia"/>
          <w:sz w:val="32"/>
          <w:szCs w:val="32"/>
        </w:rPr>
        <w:t>别申请认证。</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（二）附件3.11    室内消火栓检验要求</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1 认证检验依据</w:t>
      </w:r>
    </w:p>
    <w:p w:rsidR="001948FB" w:rsidRDefault="001948FB" w:rsidP="001948FB">
      <w:pPr>
        <w:spacing w:line="360" w:lineRule="auto"/>
        <w:ind w:firstLineChars="200" w:firstLine="640"/>
        <w:rPr>
          <w:rFonts w:ascii="仿宋" w:eastAsia="仿宋" w:hAnsi="仿宋"/>
          <w:sz w:val="32"/>
          <w:szCs w:val="32"/>
        </w:rPr>
      </w:pPr>
      <w:r>
        <w:rPr>
          <w:rFonts w:ascii="仿宋" w:eastAsia="仿宋" w:hAnsi="仿宋" w:hint="eastAsia"/>
          <w:sz w:val="32"/>
          <w:szCs w:val="32"/>
        </w:rPr>
        <w:t>GB3445-2018《室内消火栓》</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lastRenderedPageBreak/>
        <w:t>2检验项目</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2.1型式试验及样品数量</w:t>
      </w:r>
    </w:p>
    <w:p w:rsidR="001948FB" w:rsidRDefault="001948FB" w:rsidP="001948FB">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认证委托人在单元内选取公称通径最大的型号作为典型产品型号进行5.2.3、5.3、5.5~5.7、5.8（适用时）、5.9（适用时）、5.10、5.11、5.12（适用时）、5.13（适用时）、5.14项目的检验，其他型号按照表1规定进行差异项检验。 </w:t>
      </w:r>
    </w:p>
    <w:p w:rsidR="001948FB" w:rsidRDefault="001948FB" w:rsidP="001948FB">
      <w:pPr>
        <w:spacing w:line="400" w:lineRule="exact"/>
        <w:ind w:firstLineChars="202" w:firstLine="646"/>
        <w:jc w:val="center"/>
        <w:rPr>
          <w:rFonts w:ascii="仿宋" w:eastAsia="仿宋" w:hAnsi="仿宋"/>
          <w:sz w:val="32"/>
          <w:szCs w:val="32"/>
        </w:rPr>
      </w:pPr>
      <w:r>
        <w:rPr>
          <w:rFonts w:ascii="仿宋" w:eastAsia="仿宋" w:hAnsi="仿宋" w:hint="eastAsia"/>
          <w:sz w:val="32"/>
          <w:szCs w:val="32"/>
        </w:rPr>
        <w:t>表1 差异项检验项目及样品数量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3969"/>
        <w:gridCol w:w="1984"/>
      </w:tblGrid>
      <w:tr w:rsidR="001948FB" w:rsidTr="00943674">
        <w:tc>
          <w:tcPr>
            <w:tcW w:w="3227" w:type="dxa"/>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差异内容</w:t>
            </w:r>
          </w:p>
        </w:tc>
        <w:tc>
          <w:tcPr>
            <w:tcW w:w="3969" w:type="dxa"/>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检验项目</w:t>
            </w:r>
          </w:p>
        </w:tc>
        <w:tc>
          <w:tcPr>
            <w:tcW w:w="1984" w:type="dxa"/>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样品数量</w:t>
            </w:r>
          </w:p>
        </w:tc>
      </w:tr>
      <w:tr w:rsidR="001948FB" w:rsidTr="00943674">
        <w:tc>
          <w:tcPr>
            <w:tcW w:w="3227" w:type="dxa"/>
            <w:vAlign w:val="center"/>
          </w:tcPr>
          <w:p w:rsidR="001948FB" w:rsidRDefault="001948FB" w:rsidP="00943674">
            <w:pPr>
              <w:spacing w:line="400" w:lineRule="exact"/>
              <w:rPr>
                <w:rFonts w:ascii="仿宋" w:eastAsia="仿宋" w:hAnsi="仿宋"/>
                <w:sz w:val="32"/>
                <w:szCs w:val="32"/>
              </w:rPr>
            </w:pPr>
            <w:r>
              <w:rPr>
                <w:rFonts w:ascii="仿宋" w:eastAsia="仿宋" w:hAnsi="仿宋" w:hint="eastAsia"/>
                <w:sz w:val="32"/>
                <w:szCs w:val="32"/>
              </w:rPr>
              <w:t>公称通径不同</w:t>
            </w:r>
          </w:p>
        </w:tc>
        <w:tc>
          <w:tcPr>
            <w:tcW w:w="3969" w:type="dxa"/>
          </w:tcPr>
          <w:p w:rsidR="001948FB" w:rsidRDefault="001948FB" w:rsidP="00943674">
            <w:pPr>
              <w:spacing w:line="400" w:lineRule="exact"/>
              <w:rPr>
                <w:rFonts w:ascii="仿宋" w:eastAsia="仿宋" w:hAnsi="仿宋"/>
                <w:sz w:val="32"/>
                <w:szCs w:val="32"/>
              </w:rPr>
            </w:pPr>
            <w:r>
              <w:rPr>
                <w:rFonts w:ascii="仿宋" w:eastAsia="仿宋" w:hAnsi="仿宋" w:hint="eastAsia"/>
                <w:sz w:val="32"/>
                <w:szCs w:val="32"/>
              </w:rPr>
              <w:t>5.3、5.5~5.7、5.8（适用时）、5.9（适用时）、5.10、5.11、5.12（适用时）、5.13（适用时）</w:t>
            </w:r>
          </w:p>
        </w:tc>
        <w:tc>
          <w:tcPr>
            <w:tcW w:w="1984" w:type="dxa"/>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2</w:t>
            </w:r>
          </w:p>
        </w:tc>
      </w:tr>
      <w:tr w:rsidR="001948FB" w:rsidTr="00943674">
        <w:tc>
          <w:tcPr>
            <w:tcW w:w="3227" w:type="dxa"/>
            <w:vAlign w:val="center"/>
          </w:tcPr>
          <w:p w:rsidR="001948FB" w:rsidRDefault="001948FB" w:rsidP="00943674">
            <w:pPr>
              <w:spacing w:line="400" w:lineRule="exact"/>
              <w:rPr>
                <w:rFonts w:ascii="仿宋" w:eastAsia="仿宋" w:hAnsi="仿宋"/>
                <w:sz w:val="32"/>
                <w:szCs w:val="32"/>
              </w:rPr>
            </w:pPr>
            <w:r>
              <w:rPr>
                <w:rFonts w:ascii="仿宋" w:eastAsia="仿宋" w:hAnsi="仿宋" w:hint="eastAsia"/>
                <w:sz w:val="32"/>
                <w:szCs w:val="32"/>
              </w:rPr>
              <w:t>出口数量不同</w:t>
            </w:r>
          </w:p>
        </w:tc>
        <w:tc>
          <w:tcPr>
            <w:tcW w:w="3969" w:type="dxa"/>
          </w:tcPr>
          <w:p w:rsidR="001948FB" w:rsidRDefault="001948FB" w:rsidP="00943674">
            <w:pPr>
              <w:spacing w:line="400" w:lineRule="exact"/>
              <w:rPr>
                <w:rFonts w:ascii="仿宋" w:eastAsia="仿宋" w:hAnsi="仿宋"/>
                <w:sz w:val="32"/>
                <w:szCs w:val="32"/>
              </w:rPr>
            </w:pPr>
            <w:r>
              <w:rPr>
                <w:rFonts w:ascii="仿宋" w:eastAsia="仿宋" w:hAnsi="仿宋" w:hint="eastAsia"/>
                <w:sz w:val="32"/>
                <w:szCs w:val="32"/>
              </w:rPr>
              <w:t>5.3、5.6、5.7、5.8（适用时）、5.9（适用时）、5.10、5.11、5.12（适用时）、5.13（适用时）</w:t>
            </w:r>
          </w:p>
        </w:tc>
        <w:tc>
          <w:tcPr>
            <w:tcW w:w="1984" w:type="dxa"/>
          </w:tcPr>
          <w:p w:rsidR="001948FB" w:rsidRDefault="001948FB" w:rsidP="00943674">
            <w:pPr>
              <w:spacing w:line="400" w:lineRule="exact"/>
              <w:jc w:val="center"/>
              <w:rPr>
                <w:rFonts w:ascii="仿宋" w:eastAsia="仿宋" w:hAnsi="仿宋"/>
                <w:sz w:val="32"/>
                <w:szCs w:val="32"/>
              </w:rPr>
            </w:pPr>
            <w:r>
              <w:rPr>
                <w:rFonts w:ascii="仿宋" w:eastAsia="仿宋" w:hAnsi="仿宋" w:hint="eastAsia"/>
                <w:sz w:val="32"/>
                <w:szCs w:val="32"/>
              </w:rPr>
              <w:t>2</w:t>
            </w:r>
          </w:p>
        </w:tc>
      </w:tr>
    </w:tbl>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注：同时出现2个差异项的室内消火栓，其检验项目根据相同项目不重复的原则叠加，样品数量根据相同项目不重复的原则叠加。</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2.2  监督检验</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1) 获证后生产现场抽样检测检验项目为GB3445-2018《室内消火栓中5.7、5.10、5.11。</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lastRenderedPageBreak/>
        <w:t>2) 获证后使用领域抽样检测检验项目按照生产现场抽样检测要求执行。</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3 样品数量</w:t>
      </w:r>
    </w:p>
    <w:p w:rsidR="001948FB" w:rsidRDefault="001948FB" w:rsidP="001948FB">
      <w:pPr>
        <w:pStyle w:val="a6"/>
        <w:numPr>
          <w:ilvl w:val="0"/>
          <w:numId w:val="1"/>
        </w:numPr>
        <w:spacing w:line="360" w:lineRule="auto"/>
        <w:ind w:firstLineChars="0"/>
        <w:jc w:val="left"/>
        <w:rPr>
          <w:rFonts w:ascii="仿宋" w:eastAsia="仿宋" w:hAnsi="仿宋"/>
          <w:sz w:val="32"/>
          <w:szCs w:val="32"/>
        </w:rPr>
      </w:pPr>
      <w:r>
        <w:rPr>
          <w:rFonts w:ascii="仿宋" w:eastAsia="仿宋" w:hAnsi="仿宋" w:hint="eastAsia"/>
          <w:sz w:val="32"/>
          <w:szCs w:val="32"/>
        </w:rPr>
        <w:t>型式试验：3只；</w:t>
      </w:r>
    </w:p>
    <w:p w:rsidR="001948FB" w:rsidRDefault="001948FB" w:rsidP="001948FB">
      <w:pPr>
        <w:pStyle w:val="a6"/>
        <w:spacing w:line="360" w:lineRule="auto"/>
        <w:ind w:left="720" w:firstLineChars="0" w:firstLine="0"/>
        <w:jc w:val="left"/>
        <w:rPr>
          <w:rFonts w:ascii="仿宋" w:eastAsia="仿宋" w:hAnsi="仿宋"/>
          <w:sz w:val="32"/>
          <w:szCs w:val="32"/>
        </w:rPr>
      </w:pPr>
      <w:r>
        <w:rPr>
          <w:rFonts w:ascii="仿宋" w:eastAsia="仿宋" w:hAnsi="仿宋" w:hint="eastAsia"/>
          <w:sz w:val="32"/>
          <w:szCs w:val="32"/>
        </w:rPr>
        <w:t>差异项型号产品样品数量：见表1。</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2）监督检验： 2只。</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4  检验周期</w:t>
      </w:r>
    </w:p>
    <w:p w:rsidR="001948FB" w:rsidRDefault="001948FB" w:rsidP="001948FB">
      <w:pPr>
        <w:spacing w:line="360" w:lineRule="auto"/>
        <w:ind w:firstLineChars="150" w:firstLine="480"/>
        <w:rPr>
          <w:rFonts w:ascii="仿宋" w:eastAsia="仿宋" w:hAnsi="仿宋"/>
          <w:sz w:val="32"/>
          <w:szCs w:val="32"/>
        </w:rPr>
      </w:pPr>
      <w:r>
        <w:rPr>
          <w:rFonts w:ascii="仿宋" w:eastAsia="仿宋" w:hAnsi="仿宋" w:hint="eastAsia"/>
          <w:sz w:val="32"/>
          <w:szCs w:val="32"/>
        </w:rPr>
        <w:t>检验周期是自检验合同正式生效之日起至上报检验报告实际发生的时间，具体时限如下：</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1）型式试验：检验周期60天。</w:t>
      </w:r>
    </w:p>
    <w:p w:rsidR="001948FB" w:rsidRDefault="001948FB" w:rsidP="001948FB">
      <w:pPr>
        <w:spacing w:line="360" w:lineRule="auto"/>
        <w:rPr>
          <w:rFonts w:ascii="仿宋" w:eastAsia="仿宋" w:hAnsi="仿宋"/>
          <w:sz w:val="32"/>
          <w:szCs w:val="32"/>
        </w:rPr>
      </w:pPr>
      <w:r>
        <w:rPr>
          <w:rFonts w:ascii="仿宋" w:eastAsia="仿宋" w:hAnsi="仿宋" w:hint="eastAsia"/>
          <w:sz w:val="32"/>
          <w:szCs w:val="32"/>
        </w:rPr>
        <w:t>2）监督检验：检验周期40天。</w:t>
      </w:r>
    </w:p>
    <w:p w:rsidR="004358AB" w:rsidRPr="001948FB" w:rsidRDefault="004358AB" w:rsidP="001948FB">
      <w:pPr>
        <w:spacing w:line="360" w:lineRule="auto"/>
        <w:rPr>
          <w:rFonts w:ascii="仿宋" w:eastAsia="仿宋" w:hAnsi="仿宋"/>
          <w:sz w:val="32"/>
          <w:szCs w:val="32"/>
        </w:rPr>
      </w:pPr>
    </w:p>
    <w:sectPr w:rsidR="004358AB" w:rsidRPr="001948F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5CB" w:rsidRDefault="00DA05CB" w:rsidP="001948FB">
      <w:pPr>
        <w:spacing w:after="0"/>
      </w:pPr>
      <w:r>
        <w:separator/>
      </w:r>
    </w:p>
  </w:endnote>
  <w:endnote w:type="continuationSeparator" w:id="0">
    <w:p w:rsidR="00DA05CB" w:rsidRDefault="00DA05CB" w:rsidP="001948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5CB" w:rsidRDefault="00DA05CB" w:rsidP="001948FB">
      <w:pPr>
        <w:spacing w:after="0"/>
      </w:pPr>
      <w:r>
        <w:separator/>
      </w:r>
    </w:p>
  </w:footnote>
  <w:footnote w:type="continuationSeparator" w:id="0">
    <w:p w:rsidR="00DA05CB" w:rsidRDefault="00DA05CB" w:rsidP="001948F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94993"/>
    <w:multiLevelType w:val="multilevel"/>
    <w:tmpl w:val="7149499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948FB"/>
    <w:rsid w:val="00323B43"/>
    <w:rsid w:val="003D37D8"/>
    <w:rsid w:val="00426133"/>
    <w:rsid w:val="004358AB"/>
    <w:rsid w:val="008B7726"/>
    <w:rsid w:val="00C35306"/>
    <w:rsid w:val="00D31D50"/>
    <w:rsid w:val="00DA0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48F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948FB"/>
    <w:rPr>
      <w:rFonts w:ascii="Tahoma" w:hAnsi="Tahoma"/>
      <w:sz w:val="18"/>
      <w:szCs w:val="18"/>
    </w:rPr>
  </w:style>
  <w:style w:type="paragraph" w:styleId="a4">
    <w:name w:val="footer"/>
    <w:basedOn w:val="a"/>
    <w:link w:val="Char0"/>
    <w:uiPriority w:val="99"/>
    <w:semiHidden/>
    <w:unhideWhenUsed/>
    <w:rsid w:val="001948FB"/>
    <w:pPr>
      <w:tabs>
        <w:tab w:val="center" w:pos="4153"/>
        <w:tab w:val="right" w:pos="8306"/>
      </w:tabs>
    </w:pPr>
    <w:rPr>
      <w:sz w:val="18"/>
      <w:szCs w:val="18"/>
    </w:rPr>
  </w:style>
  <w:style w:type="character" w:customStyle="1" w:styleId="Char0">
    <w:name w:val="页脚 Char"/>
    <w:basedOn w:val="a0"/>
    <w:link w:val="a4"/>
    <w:uiPriority w:val="99"/>
    <w:semiHidden/>
    <w:rsid w:val="001948FB"/>
    <w:rPr>
      <w:rFonts w:ascii="Tahoma" w:hAnsi="Tahoma"/>
      <w:sz w:val="18"/>
      <w:szCs w:val="18"/>
    </w:rPr>
  </w:style>
  <w:style w:type="table" w:styleId="a5">
    <w:name w:val="Table Grid"/>
    <w:basedOn w:val="a1"/>
    <w:uiPriority w:val="59"/>
    <w:rsid w:val="001948FB"/>
    <w:pPr>
      <w:spacing w:after="0" w:line="240" w:lineRule="auto"/>
    </w:pPr>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48FB"/>
    <w:pPr>
      <w:widowControl w:val="0"/>
      <w:autoSpaceDE w:val="0"/>
      <w:autoSpaceDN w:val="0"/>
      <w:adjustRightInd w:val="0"/>
      <w:spacing w:after="0" w:line="240" w:lineRule="auto"/>
    </w:pPr>
    <w:rPr>
      <w:rFonts w:ascii="仿宋" w:eastAsia="仿宋" w:cs="仿宋"/>
      <w:color w:val="000000"/>
      <w:sz w:val="24"/>
      <w:szCs w:val="24"/>
    </w:rPr>
  </w:style>
  <w:style w:type="paragraph" w:styleId="a6">
    <w:name w:val="List Paragraph"/>
    <w:basedOn w:val="a"/>
    <w:uiPriority w:val="34"/>
    <w:qFormat/>
    <w:rsid w:val="001948FB"/>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2019-04-08T01:07:00Z</dcterms:modified>
</cp:coreProperties>
</file>